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Sign In Sheet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7"/>
        <w:gridCol w:w="4637"/>
        <w:tblGridChange w:id="0">
          <w:tblGrid>
            <w:gridCol w:w="4637"/>
            <w:gridCol w:w="46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ELAC 101-What is ELAC, Why do we have it?  When do we have it?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Members of ELAC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DLAC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Future Meetings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Importance of Attendance</w:t>
      </w:r>
    </w:p>
    <w:sectPr>
      <w:headerReference r:id="rId6" w:type="default"/>
      <w:pgSz w:h="15840" w:w="12240" w:orient="portrait"/>
      <w:pgMar w:bottom="1440" w:top="1440" w:left="1526.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  <w:t xml:space="preserve">ELAC Agenda Foothill Oaks September 18 4:30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3581400</wp:posOffset>
          </wp:positionH>
          <wp:positionV relativeFrom="paragraph">
            <wp:posOffset>-342899</wp:posOffset>
          </wp:positionV>
          <wp:extent cx="774694" cy="89294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694" cy="8929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